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F4" w:rsidRPr="00A00EB5" w:rsidRDefault="00262EF4" w:rsidP="00262EF4">
      <w:pPr>
        <w:rPr>
          <w:rFonts w:ascii="Cordia New" w:hAnsi="Cordia New" w:cs="Cordia New"/>
          <w:sz w:val="32"/>
          <w:szCs w:val="32"/>
        </w:rPr>
      </w:pPr>
      <w:r w:rsidRPr="00A00EB5">
        <w:rPr>
          <w:rStyle w:val="style291"/>
          <w:rFonts w:ascii="Cordia New" w:hAnsi="Cordia New" w:cs="Cordia New"/>
          <w:b/>
          <w:bCs/>
          <w:color w:val="auto"/>
          <w:sz w:val="32"/>
          <w:szCs w:val="32"/>
          <w:u w:val="single"/>
        </w:rPr>
        <w:t xml:space="preserve">FATAL DRUG </w:t>
      </w:r>
      <w:proofErr w:type="gramStart"/>
      <w:r w:rsidRPr="00A00EB5">
        <w:rPr>
          <w:rStyle w:val="style291"/>
          <w:rFonts w:ascii="Cordia New" w:hAnsi="Cordia New" w:cs="Cordia New"/>
          <w:b/>
          <w:bCs/>
          <w:color w:val="auto"/>
          <w:sz w:val="32"/>
          <w:szCs w:val="32"/>
          <w:u w:val="single"/>
        </w:rPr>
        <w:t>INTERACTION</w:t>
      </w:r>
      <w:r w:rsidRPr="00A00EB5">
        <w:rPr>
          <w:rStyle w:val="style291"/>
          <w:rFonts w:ascii="Cordia New" w:hAnsi="Cordia New" w:cs="Cordia New"/>
          <w:sz w:val="32"/>
          <w:szCs w:val="32"/>
        </w:rPr>
        <w:t xml:space="preserve"> </w:t>
      </w:r>
      <w:r w:rsidR="00AA214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A00EB5">
        <w:rPr>
          <w:rFonts w:ascii="Cordia New" w:hAnsi="Cordia New" w:cs="Cordia New"/>
          <w:sz w:val="32"/>
          <w:szCs w:val="32"/>
          <w:cs/>
        </w:rPr>
        <w:t>คือคู่ยาที่มีรายงานการเกิดอันตรกิริยาระหว่างกันจนเป็นเหตุให้เกิดการเสียชีวิต</w:t>
      </w:r>
      <w:proofErr w:type="gramEnd"/>
      <w:r w:rsidRPr="00A00EB5">
        <w:rPr>
          <w:rStyle w:val="a4"/>
          <w:rFonts w:ascii="Cordia New" w:hAnsi="Cordia New" w:cs="Cordia New"/>
          <w:sz w:val="32"/>
          <w:szCs w:val="32"/>
        </w:rPr>
        <w:t>        </w:t>
      </w:r>
    </w:p>
    <w:p w:rsidR="00262EF4" w:rsidRPr="00A00EB5" w:rsidRDefault="00262EF4" w:rsidP="00262EF4">
      <w:pPr>
        <w:pStyle w:val="a5"/>
        <w:rPr>
          <w:rFonts w:ascii="Cordia New" w:hAnsi="Cordia New" w:cs="Cordia New"/>
          <w:color w:val="auto"/>
          <w:sz w:val="32"/>
          <w:szCs w:val="32"/>
        </w:rPr>
      </w:pPr>
      <w:r w:rsidRPr="00A00EB5">
        <w:rPr>
          <w:rStyle w:val="style161"/>
          <w:rFonts w:ascii="Cordia New" w:hAnsi="Cordia New" w:cs="Cordia New"/>
          <w:color w:val="auto"/>
          <w:sz w:val="32"/>
          <w:szCs w:val="32"/>
          <w:cs/>
        </w:rPr>
        <w:t xml:space="preserve">เกณฑ์ที่ใช้กำหนดคู่ยาที่เป็น </w:t>
      </w:r>
      <w:r w:rsidRPr="00A00EB5">
        <w:rPr>
          <w:rStyle w:val="style161"/>
          <w:rFonts w:ascii="Cordia New" w:hAnsi="Cordia New" w:cs="Cordia New"/>
          <w:color w:val="auto"/>
          <w:sz w:val="32"/>
          <w:szCs w:val="32"/>
        </w:rPr>
        <w:t xml:space="preserve">FATAL DI </w:t>
      </w:r>
      <w:r w:rsidRPr="00A00EB5">
        <w:rPr>
          <w:rStyle w:val="style161"/>
          <w:rFonts w:ascii="Cordia New" w:hAnsi="Cordia New" w:cs="Cordia New"/>
          <w:color w:val="auto"/>
          <w:sz w:val="32"/>
          <w:szCs w:val="32"/>
          <w:cs/>
        </w:rPr>
        <w:t>ได้แก่</w:t>
      </w:r>
      <w:r w:rsidRPr="00A00EB5">
        <w:rPr>
          <w:rStyle w:val="style161"/>
          <w:rFonts w:ascii="Cordia New" w:hAnsi="Cordia New" w:cs="Cordia New"/>
          <w:color w:val="auto"/>
          <w:sz w:val="32"/>
          <w:szCs w:val="32"/>
        </w:rPr>
        <w:t> </w:t>
      </w:r>
      <w:r w:rsidRPr="00A00EB5">
        <w:rPr>
          <w:rStyle w:val="style231"/>
          <w:rFonts w:ascii="Cordia New" w:hAnsi="Cordia New" w:cs="Cordia New"/>
          <w:color w:val="auto"/>
          <w:sz w:val="32"/>
          <w:szCs w:val="32"/>
        </w:rPr>
        <w:t> </w:t>
      </w:r>
      <w:r w:rsidRPr="00A00EB5">
        <w:rPr>
          <w:rStyle w:val="style221"/>
          <w:rFonts w:ascii="Cordia New" w:hAnsi="Cordia New" w:cs="Cordia New"/>
          <w:color w:val="auto"/>
          <w:sz w:val="32"/>
          <w:szCs w:val="32"/>
        </w:rPr>
        <w:t>     </w:t>
      </w:r>
      <w:r w:rsidRPr="00A00EB5">
        <w:rPr>
          <w:rStyle w:val="a4"/>
          <w:rFonts w:ascii="Cordia New" w:hAnsi="Cordia New" w:cs="Cordia New"/>
          <w:color w:val="auto"/>
          <w:sz w:val="32"/>
          <w:szCs w:val="32"/>
        </w:rPr>
        <w:t>         </w:t>
      </w:r>
    </w:p>
    <w:p w:rsidR="00262EF4" w:rsidRPr="00A00EB5" w:rsidRDefault="00262EF4" w:rsidP="00AA2144">
      <w:pPr>
        <w:pStyle w:val="a5"/>
        <w:ind w:firstLine="720"/>
        <w:rPr>
          <w:rFonts w:ascii="Cordia New" w:hAnsi="Cordia New" w:cs="Cordia New"/>
          <w:color w:val="auto"/>
          <w:sz w:val="32"/>
          <w:szCs w:val="32"/>
        </w:rPr>
      </w:pPr>
      <w:r w:rsidRPr="00A00EB5">
        <w:rPr>
          <w:rStyle w:val="style241"/>
          <w:rFonts w:ascii="Cordia New" w:hAnsi="Cordia New" w:cs="Cordia New"/>
          <w:color w:val="auto"/>
          <w:sz w:val="32"/>
          <w:szCs w:val="32"/>
        </w:rPr>
        <w:t>1.</w:t>
      </w:r>
      <w:r w:rsidRPr="00A00EB5">
        <w:rPr>
          <w:rStyle w:val="style241"/>
          <w:rFonts w:ascii="Cordia New" w:hAnsi="Cordia New" w:cs="Cordia New"/>
          <w:color w:val="auto"/>
          <w:sz w:val="32"/>
          <w:szCs w:val="32"/>
          <w:cs/>
        </w:rPr>
        <w:t>มีรายงานการเสียชีวิตอันเป็นผลจากอันตรกิริยาระหว่างยา</w:t>
      </w:r>
    </w:p>
    <w:p w:rsidR="00262EF4" w:rsidRPr="00A00EB5" w:rsidRDefault="00262EF4" w:rsidP="00AA2144">
      <w:pPr>
        <w:pStyle w:val="style24"/>
        <w:ind w:firstLine="720"/>
        <w:rPr>
          <w:rFonts w:ascii="Cordia New" w:hAnsi="Cordia New" w:cs="Cordia New"/>
          <w:color w:val="auto"/>
          <w:sz w:val="32"/>
          <w:szCs w:val="32"/>
        </w:rPr>
      </w:pPr>
      <w:r w:rsidRPr="00A00EB5">
        <w:rPr>
          <w:rFonts w:ascii="Cordia New" w:hAnsi="Cordia New" w:cs="Cordia New"/>
          <w:color w:val="auto"/>
          <w:sz w:val="32"/>
          <w:szCs w:val="32"/>
        </w:rPr>
        <w:t>2.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มีระดับความมีนัยสำคัญทางคลินิกระดับ </w:t>
      </w:r>
      <w:r w:rsidRPr="00A00EB5">
        <w:rPr>
          <w:rFonts w:ascii="Cordia New" w:hAnsi="Cordia New" w:cs="Cordia New"/>
          <w:color w:val="auto"/>
          <w:sz w:val="32"/>
          <w:szCs w:val="32"/>
        </w:rPr>
        <w:t>I</w:t>
      </w:r>
    </w:p>
    <w:p w:rsidR="00262EF4" w:rsidRPr="00A00EB5" w:rsidRDefault="00262EF4" w:rsidP="00AA2144">
      <w:pPr>
        <w:pStyle w:val="style24"/>
        <w:ind w:left="720"/>
        <w:rPr>
          <w:rFonts w:ascii="Cordia New" w:hAnsi="Cordia New" w:cs="Cordia New"/>
          <w:color w:val="auto"/>
          <w:sz w:val="32"/>
          <w:szCs w:val="32"/>
          <w:cs/>
        </w:rPr>
      </w:pPr>
      <w:r w:rsidRPr="00A00EB5">
        <w:rPr>
          <w:rFonts w:ascii="Cordia New" w:hAnsi="Cordia New" w:cs="Cordia New"/>
          <w:color w:val="auto"/>
          <w:sz w:val="32"/>
          <w:szCs w:val="32"/>
        </w:rPr>
        <w:t>3.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มีความรุนแรงอยู่ในระดับ 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Major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>ซึ่งผลที่เกิดขึ้นจะก่อให้เกิดอันตรายถึงชีวิตและเป็นสาเหตุของความเสียหายอย่างถาวร</w:t>
      </w:r>
    </w:p>
    <w:p w:rsidR="00262EF4" w:rsidRPr="00A00EB5" w:rsidRDefault="00262EF4" w:rsidP="00AA2144">
      <w:pPr>
        <w:pStyle w:val="style24"/>
        <w:ind w:left="720"/>
        <w:rPr>
          <w:rFonts w:ascii="Cordia New" w:hAnsi="Cordia New" w:cs="Cordia New"/>
          <w:color w:val="auto"/>
          <w:sz w:val="32"/>
          <w:szCs w:val="32"/>
        </w:rPr>
      </w:pPr>
      <w:r w:rsidRPr="00A00EB5">
        <w:rPr>
          <w:rFonts w:ascii="Cordia New" w:hAnsi="Cordia New" w:cs="Cordia New"/>
          <w:color w:val="auto"/>
          <w:sz w:val="32"/>
          <w:szCs w:val="32"/>
        </w:rPr>
        <w:t>4.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มีระดับความน่าเชื่อถือของข้อมูลอยู่ในระดับน่าเชื่อถือโดยมี 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Well </w:t>
      </w:r>
      <w:proofErr w:type="spellStart"/>
      <w:r w:rsidRPr="00A00EB5">
        <w:rPr>
          <w:rFonts w:ascii="Cordia New" w:hAnsi="Cordia New" w:cs="Cordia New"/>
          <w:color w:val="auto"/>
          <w:sz w:val="32"/>
          <w:szCs w:val="32"/>
        </w:rPr>
        <w:t>Crontrolled</w:t>
      </w:r>
      <w:proofErr w:type="spellEnd"/>
      <w:r w:rsidRPr="00A00EB5">
        <w:rPr>
          <w:rFonts w:ascii="Cordia New" w:hAnsi="Cordia New" w:cs="Cordia New"/>
          <w:color w:val="auto"/>
          <w:sz w:val="32"/>
          <w:szCs w:val="32"/>
        </w:rPr>
        <w:t xml:space="preserve"> - </w:t>
      </w:r>
      <w:proofErr w:type="gramStart"/>
      <w:r w:rsidRPr="00A00EB5">
        <w:rPr>
          <w:rFonts w:ascii="Cordia New" w:hAnsi="Cordia New" w:cs="Cordia New"/>
          <w:color w:val="auto"/>
          <w:sz w:val="32"/>
          <w:szCs w:val="32"/>
        </w:rPr>
        <w:t>Studies(</w:t>
      </w:r>
      <w:proofErr w:type="spellStart"/>
      <w:proofErr w:type="gramEnd"/>
      <w:r w:rsidRPr="00A00EB5">
        <w:rPr>
          <w:rFonts w:ascii="Cordia New" w:hAnsi="Cordia New" w:cs="Cordia New"/>
          <w:color w:val="auto"/>
          <w:sz w:val="32"/>
          <w:szCs w:val="32"/>
        </w:rPr>
        <w:t>Establised</w:t>
      </w:r>
      <w:proofErr w:type="spellEnd"/>
      <w:r w:rsidRPr="00A00EB5">
        <w:rPr>
          <w:rFonts w:ascii="Cordia New" w:hAnsi="Cordia New" w:cs="Cordia New"/>
          <w:color w:val="auto"/>
          <w:sz w:val="32"/>
          <w:szCs w:val="32"/>
        </w:rPr>
        <w:t xml:space="preserve">)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>และน่าจะใช่(</w:t>
      </w:r>
      <w:proofErr w:type="spellStart"/>
      <w:r w:rsidRPr="00A00EB5">
        <w:rPr>
          <w:rFonts w:ascii="Cordia New" w:hAnsi="Cordia New" w:cs="Cordia New"/>
          <w:color w:val="auto"/>
          <w:sz w:val="32"/>
          <w:szCs w:val="32"/>
        </w:rPr>
        <w:t>Proable</w:t>
      </w:r>
      <w:proofErr w:type="spellEnd"/>
      <w:r w:rsidRPr="00A00EB5">
        <w:rPr>
          <w:rFonts w:ascii="Cordia New" w:hAnsi="Cordia New" w:cs="Cordia New"/>
          <w:color w:val="auto"/>
          <w:sz w:val="32"/>
          <w:szCs w:val="32"/>
        </w:rPr>
        <w:t xml:space="preserve">) </w:t>
      </w:r>
    </w:p>
    <w:p w:rsidR="00262EF4" w:rsidRPr="00A00EB5" w:rsidRDefault="00262EF4" w:rsidP="00262EF4">
      <w:pPr>
        <w:pStyle w:val="style16"/>
        <w:rPr>
          <w:rFonts w:ascii="Cordia New" w:hAnsi="Cordia New" w:cs="Cordia New"/>
          <w:color w:val="auto"/>
          <w:sz w:val="32"/>
          <w:szCs w:val="32"/>
        </w:rPr>
      </w:pPr>
      <w:r w:rsidRPr="00A00EB5">
        <w:rPr>
          <w:rFonts w:ascii="Cordia New" w:hAnsi="Cordia New" w:cs="Cordia New"/>
          <w:color w:val="auto"/>
          <w:sz w:val="32"/>
          <w:szCs w:val="32"/>
          <w:cs/>
        </w:rPr>
        <w:t>โดยแบ่ง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 Fatal </w:t>
      </w:r>
      <w:proofErr w:type="gramStart"/>
      <w:r w:rsidRPr="00A00EB5">
        <w:rPr>
          <w:rFonts w:ascii="Cordia New" w:hAnsi="Cordia New" w:cs="Cordia New"/>
          <w:color w:val="auto"/>
          <w:sz w:val="32"/>
          <w:szCs w:val="32"/>
        </w:rPr>
        <w:t xml:space="preserve">DI </w:t>
      </w:r>
      <w:r w:rsidR="00AA2144">
        <w:rPr>
          <w:rFonts w:ascii="Cordia New" w:hAnsi="Cordia New" w:cs="Cordia New" w:hint="cs"/>
          <w:color w:val="auto"/>
          <w:sz w:val="32"/>
          <w:szCs w:val="32"/>
          <w:cs/>
        </w:rPr>
        <w:t xml:space="preserve">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>ดั</w:t>
      </w:r>
      <w:r w:rsidR="00AA2144">
        <w:rPr>
          <w:rFonts w:ascii="Cordia New" w:hAnsi="Cordia New" w:cs="Cordia New" w:hint="cs"/>
          <w:color w:val="auto"/>
          <w:sz w:val="32"/>
          <w:szCs w:val="32"/>
          <w:cs/>
        </w:rPr>
        <w:t>งนี้</w:t>
      </w:r>
      <w:proofErr w:type="gramEnd"/>
    </w:p>
    <w:p w:rsidR="00262EF4" w:rsidRPr="00A00EB5" w:rsidRDefault="00262EF4" w:rsidP="00AA2144">
      <w:pPr>
        <w:pStyle w:val="a5"/>
        <w:ind w:left="720"/>
        <w:rPr>
          <w:rFonts w:ascii="Cordia New" w:hAnsi="Cordia New" w:cs="Cordia New"/>
          <w:color w:val="auto"/>
          <w:sz w:val="32"/>
          <w:szCs w:val="32"/>
        </w:rPr>
      </w:pPr>
      <w:proofErr w:type="gramStart"/>
      <w:r w:rsidRPr="00A00EB5">
        <w:rPr>
          <w:rStyle w:val="style161"/>
          <w:rFonts w:ascii="Cordia New" w:hAnsi="Cordia New" w:cs="Cordia New"/>
          <w:color w:val="auto"/>
          <w:sz w:val="32"/>
          <w:szCs w:val="32"/>
        </w:rPr>
        <w:t>1.Contraindication</w:t>
      </w:r>
      <w:proofErr w:type="gramEnd"/>
      <w:r w:rsidRPr="00A00EB5">
        <w:rPr>
          <w:rStyle w:val="style161"/>
          <w:rFonts w:ascii="Cordia New" w:hAnsi="Cordia New" w:cs="Cordia New"/>
          <w:color w:val="auto"/>
          <w:sz w:val="32"/>
          <w:szCs w:val="32"/>
        </w:rPr>
        <w:t xml:space="preserve"> Fatal Drug Interaction</w:t>
      </w:r>
      <w:r w:rsidRPr="00A00EB5">
        <w:rPr>
          <w:rStyle w:val="a4"/>
          <w:rFonts w:ascii="Cordia New" w:hAnsi="Cordia New" w:cs="Cordia New"/>
          <w:color w:val="auto"/>
          <w:sz w:val="32"/>
          <w:szCs w:val="32"/>
        </w:rPr>
        <w:t xml:space="preserve">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>คือ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คู่ยา 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Fatal DI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ที่มีหลักฐาน ชัดเจนว่าทำให้เกิด 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ADR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ที่รุนแรง อยู่ในระดับ 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Major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>ภายในเวลาอันรวดเร็ว (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rapid)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>หลังการได้รับยาร่วมกัน หรือ มีข้อมูลอ้างอิงในหนังสือ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 Drug Interaction Facts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ว่า เป็นคู่ยาที่มีนัยสำคัญทางคลินิกอยู่ในระดับ 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1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>ที่มีข้อห้ามในการใช้ยาร่วมกัน</w:t>
      </w:r>
    </w:p>
    <w:p w:rsidR="00A00EB5" w:rsidRPr="00A00EB5" w:rsidRDefault="00262EF4" w:rsidP="00AA2144">
      <w:pPr>
        <w:pStyle w:val="a5"/>
        <w:ind w:left="720"/>
        <w:rPr>
          <w:rFonts w:ascii="Cordia New" w:hAnsi="Cordia New" w:cs="Cordia New"/>
          <w:color w:val="auto"/>
          <w:sz w:val="32"/>
          <w:szCs w:val="32"/>
        </w:rPr>
      </w:pPr>
      <w:proofErr w:type="gramStart"/>
      <w:r w:rsidRPr="00A00EB5">
        <w:rPr>
          <w:rStyle w:val="style161"/>
          <w:rFonts w:ascii="Cordia New" w:hAnsi="Cordia New" w:cs="Cordia New"/>
          <w:color w:val="auto"/>
          <w:sz w:val="32"/>
          <w:szCs w:val="32"/>
        </w:rPr>
        <w:t>2.Mornitoring</w:t>
      </w:r>
      <w:proofErr w:type="gramEnd"/>
      <w:r w:rsidRPr="00A00EB5">
        <w:rPr>
          <w:rStyle w:val="style161"/>
          <w:rFonts w:ascii="Cordia New" w:hAnsi="Cordia New" w:cs="Cordia New"/>
          <w:color w:val="auto"/>
          <w:sz w:val="32"/>
          <w:szCs w:val="32"/>
        </w:rPr>
        <w:t xml:space="preserve"> Fatal Drug Interaction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คือ คู่ยา 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Fatal DI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ที่มีหลักฐานชัดเจนว่าทำให้เกิด 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ADR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ที่รุนแรงอย่างมีนัยสำคัญ ทางคลินิกระดับ 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1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โดยอาจเกิด 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ADR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>ขึ้นอย่างรวดเร็ว (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rapid)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>หรือช้า (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delayed)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 xml:space="preserve">ภายหลังการได้รับยาร่วมกัน แต่ สามารถป้องกันไม่ให้เกิด </w:t>
      </w:r>
      <w:r w:rsidRPr="00A00EB5">
        <w:rPr>
          <w:rFonts w:ascii="Cordia New" w:hAnsi="Cordia New" w:cs="Cordia New"/>
          <w:color w:val="auto"/>
          <w:sz w:val="32"/>
          <w:szCs w:val="32"/>
        </w:rPr>
        <w:t xml:space="preserve">ADR </w:t>
      </w:r>
      <w:r w:rsidRPr="00A00EB5">
        <w:rPr>
          <w:rFonts w:ascii="Cordia New" w:hAnsi="Cordia New" w:cs="Cordia New"/>
          <w:color w:val="auto"/>
          <w:sz w:val="32"/>
          <w:szCs w:val="32"/>
          <w:cs/>
        </w:rPr>
        <w:t>ได้ถ้ามีการติดตามผู้ป่วยอย่างใกล้ชิด</w:t>
      </w:r>
      <w:r w:rsidRPr="00A00EB5">
        <w:rPr>
          <w:rStyle w:val="a4"/>
          <w:rFonts w:ascii="Cordia New" w:hAnsi="Cordia New" w:cs="Cordia New"/>
          <w:color w:val="auto"/>
          <w:sz w:val="32"/>
          <w:szCs w:val="32"/>
        </w:rPr>
        <w:t>                        </w:t>
      </w:r>
      <w:r w:rsidRPr="00A00EB5">
        <w:rPr>
          <w:rFonts w:ascii="Cordia New" w:hAnsi="Cordia New" w:cs="Cordia New"/>
          <w:color w:val="auto"/>
          <w:sz w:val="32"/>
          <w:szCs w:val="32"/>
        </w:rPr>
        <w:t> </w:t>
      </w:r>
    </w:p>
    <w:p w:rsidR="00A00EB5" w:rsidRPr="00A00EB5" w:rsidRDefault="00A00EB5" w:rsidP="00262EF4">
      <w:pPr>
        <w:jc w:val="center"/>
        <w:rPr>
          <w:rFonts w:ascii="Cordia New" w:hAnsi="Cordia New" w:cs="Cordia New"/>
          <w:sz w:val="32"/>
          <w:szCs w:val="32"/>
        </w:rPr>
      </w:pPr>
    </w:p>
    <w:p w:rsidR="00A00EB5" w:rsidRPr="00A00EB5" w:rsidRDefault="00A00EB5" w:rsidP="00262EF4">
      <w:pPr>
        <w:jc w:val="center"/>
        <w:rPr>
          <w:rFonts w:ascii="Cordia New" w:hAnsi="Cordia New" w:cs="Cordia New"/>
          <w:sz w:val="32"/>
          <w:szCs w:val="32"/>
        </w:rPr>
      </w:pPr>
    </w:p>
    <w:p w:rsidR="00A00EB5" w:rsidRPr="00A00EB5" w:rsidRDefault="00A00EB5" w:rsidP="00262EF4">
      <w:pPr>
        <w:jc w:val="center"/>
        <w:rPr>
          <w:rFonts w:ascii="Cordia New" w:hAnsi="Cordia New" w:cs="Cordia New"/>
          <w:sz w:val="32"/>
          <w:szCs w:val="32"/>
        </w:rPr>
      </w:pPr>
    </w:p>
    <w:p w:rsidR="00A00EB5" w:rsidRPr="00A00EB5" w:rsidRDefault="00A00EB5" w:rsidP="00262EF4">
      <w:pPr>
        <w:jc w:val="center"/>
        <w:rPr>
          <w:rFonts w:ascii="Cordia New" w:hAnsi="Cordia New" w:cs="Cordia New"/>
          <w:sz w:val="32"/>
          <w:szCs w:val="32"/>
        </w:rPr>
      </w:pPr>
    </w:p>
    <w:p w:rsidR="00A00EB5" w:rsidRPr="00A00EB5" w:rsidRDefault="00A00EB5" w:rsidP="00262EF4">
      <w:pPr>
        <w:jc w:val="center"/>
        <w:rPr>
          <w:rFonts w:ascii="Cordia New" w:hAnsi="Cordia New" w:cs="Cordia New"/>
          <w:sz w:val="32"/>
          <w:szCs w:val="32"/>
        </w:rPr>
      </w:pPr>
    </w:p>
    <w:p w:rsidR="00A00EB5" w:rsidRPr="00A00EB5" w:rsidRDefault="00A00EB5" w:rsidP="00A00EB5">
      <w:pPr>
        <w:rPr>
          <w:rFonts w:ascii="Cordia New" w:hAnsi="Cordia New" w:cs="Cordia New"/>
          <w:sz w:val="32"/>
          <w:szCs w:val="32"/>
        </w:rPr>
      </w:pPr>
    </w:p>
    <w:p w:rsidR="00A00EB5" w:rsidRPr="00A00EB5" w:rsidRDefault="00A00EB5" w:rsidP="00262EF4">
      <w:pPr>
        <w:jc w:val="center"/>
        <w:rPr>
          <w:rFonts w:ascii="Cordia New" w:hAnsi="Cordia New" w:cs="Cordia New"/>
          <w:sz w:val="32"/>
          <w:szCs w:val="32"/>
        </w:rPr>
        <w:sectPr w:rsidR="00A00EB5" w:rsidRPr="00A00EB5" w:rsidSect="005364AC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A00EB5" w:rsidRPr="00AA2144" w:rsidRDefault="00A00EB5" w:rsidP="00A00EB5">
      <w:pPr>
        <w:jc w:val="center"/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</w:pPr>
      <w:r w:rsidRPr="00AA2144">
        <w:rPr>
          <w:rStyle w:val="style161"/>
          <w:rFonts w:ascii="Cordia New" w:hAnsi="Cordia New" w:cs="Cordia New"/>
          <w:b/>
          <w:bCs/>
          <w:color w:val="auto"/>
          <w:sz w:val="32"/>
          <w:szCs w:val="32"/>
          <w:u w:val="single"/>
          <w:cs/>
        </w:rPr>
        <w:lastRenderedPageBreak/>
        <w:t xml:space="preserve">คู่ยาที่เป็น </w:t>
      </w:r>
      <w:r w:rsidRPr="00AA2144">
        <w:rPr>
          <w:rStyle w:val="style161"/>
          <w:rFonts w:ascii="Cordia New" w:hAnsi="Cordia New" w:cs="Cordia New"/>
          <w:b/>
          <w:bCs/>
          <w:color w:val="auto"/>
          <w:sz w:val="32"/>
          <w:szCs w:val="32"/>
          <w:u w:val="single"/>
        </w:rPr>
        <w:t>FATAL DI</w:t>
      </w:r>
      <w:r w:rsidRPr="00AA2144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</w:t>
      </w:r>
      <w:r w:rsidRPr="00AA2144">
        <w:rPr>
          <w:rFonts w:ascii="Cordia New" w:hAnsi="Cordia New" w:cs="Cordia New"/>
          <w:b/>
          <w:bCs/>
          <w:sz w:val="32"/>
          <w:szCs w:val="32"/>
          <w:u w:val="single"/>
          <w:cs/>
        </w:rPr>
        <w:t>รพ.</w:t>
      </w:r>
      <w:r w:rsidR="00F35D3B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เขาชัยสน</w:t>
      </w:r>
    </w:p>
    <w:p w:rsidR="00A00EB5" w:rsidRPr="00AA2144" w:rsidRDefault="00A00EB5" w:rsidP="00A00EB5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AA2144">
        <w:rPr>
          <w:rStyle w:val="style161"/>
          <w:rFonts w:ascii="Cordia New" w:hAnsi="Cordia New" w:cs="Cordia New"/>
          <w:b/>
          <w:bCs/>
          <w:color w:val="auto"/>
          <w:sz w:val="32"/>
          <w:szCs w:val="32"/>
          <w:u w:val="single"/>
          <w:cs/>
        </w:rPr>
        <w:t xml:space="preserve">เกิดปฏิกิริยาระหว่างยาระดับ </w:t>
      </w:r>
      <w:r w:rsidRPr="00AA2144">
        <w:rPr>
          <w:rStyle w:val="style161"/>
          <w:rFonts w:ascii="Cordia New" w:hAnsi="Cordia New" w:cs="Cordia New"/>
          <w:b/>
          <w:bCs/>
          <w:color w:val="auto"/>
          <w:sz w:val="32"/>
          <w:szCs w:val="32"/>
          <w:u w:val="single"/>
        </w:rPr>
        <w:t>1</w:t>
      </w:r>
    </w:p>
    <w:p w:rsidR="005475B9" w:rsidRPr="00A00EB5" w:rsidRDefault="005475B9" w:rsidP="00262EF4">
      <w:pPr>
        <w:jc w:val="center"/>
        <w:rPr>
          <w:rFonts w:ascii="Angsana New" w:hAnsi="Angsana Ne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51"/>
        <w:gridCol w:w="1984"/>
        <w:gridCol w:w="4678"/>
        <w:gridCol w:w="4820"/>
      </w:tblGrid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951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b/>
                <w:bCs/>
                <w:sz w:val="28"/>
                <w:szCs w:val="28"/>
              </w:rPr>
              <w:t>Drug I</w:t>
            </w:r>
          </w:p>
        </w:tc>
        <w:tc>
          <w:tcPr>
            <w:tcW w:w="1984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b/>
                <w:bCs/>
                <w:sz w:val="28"/>
                <w:szCs w:val="28"/>
              </w:rPr>
              <w:t>Drug II</w:t>
            </w:r>
          </w:p>
        </w:tc>
        <w:tc>
          <w:tcPr>
            <w:tcW w:w="4678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b/>
                <w:bCs/>
                <w:sz w:val="28"/>
                <w:szCs w:val="28"/>
              </w:rPr>
              <w:t>Effect</w:t>
            </w:r>
          </w:p>
        </w:tc>
        <w:tc>
          <w:tcPr>
            <w:tcW w:w="4820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b/>
                <w:bCs/>
                <w:sz w:val="28"/>
                <w:szCs w:val="28"/>
              </w:rPr>
              <w:t>Management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proofErr w:type="spellStart"/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A</w:t>
            </w:r>
            <w:r w:rsidR="00AA2144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minoglycoside</w:t>
            </w:r>
            <w:proofErr w:type="spellEnd"/>
          </w:p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(</w:t>
            </w:r>
            <w:proofErr w:type="spellStart"/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G</w:t>
            </w:r>
            <w:r w:rsidR="00AA2144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entamicin</w:t>
            </w:r>
            <w:proofErr w:type="spellEnd"/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,</w:t>
            </w:r>
            <w:r w:rsidR="00AA2144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 xml:space="preserve"> Streptomycin</w:t>
            </w:r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F</w:t>
            </w:r>
            <w:r w:rsidR="00AA2144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urosemide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ผลเพิ่มความเสี่ยงในการเกิด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Nephrotoxicity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และ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Ottotoxicity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ได้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ให้ </w:t>
            </w:r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 xml:space="preserve">Auto Stop </w:t>
            </w:r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  <w:cs/>
              </w:rPr>
              <w:t>ทันที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A00EB5" w:rsidRPr="00A00EB5" w:rsidRDefault="00A00EB5" w:rsidP="00AA214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E</w:t>
            </w:r>
            <w:r w:rsidR="00AA2144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 xml:space="preserve">pinephrine </w:t>
            </w:r>
          </w:p>
        </w:tc>
        <w:tc>
          <w:tcPr>
            <w:tcW w:w="1984" w:type="dxa"/>
          </w:tcPr>
          <w:p w:rsidR="00A00EB5" w:rsidRPr="00A00EB5" w:rsidRDefault="00A00EB5" w:rsidP="00AA2144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P</w:t>
            </w:r>
            <w:r w:rsidR="00AA2144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ropanolol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ไปกระตุ้น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alpha-receptor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เมื่อให้ร่วมกับ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epinephrine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ซึ่งการเพิ่ม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vascular resistance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ทำให้เพิ่ม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BP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ซึ่งจะไปกระตุ้น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baroreceptors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เป็นเหตุให้เกิด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bradycardia</w:t>
            </w:r>
            <w:proofErr w:type="spellEnd"/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ควรหยุด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Propranolol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ก่อนให้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Epinephrine 3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วัน หรือไม่ใช้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Epinephrine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เลย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วัดระดับ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vtital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sign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ของคนไข้ รวมทั้งค่าทางเภสัชวิทยา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       </w:t>
            </w:r>
            <w:r w:rsidRPr="00A00EB5">
              <w:rPr>
                <w:rStyle w:val="a4"/>
                <w:rFonts w:ascii="Cordia New" w:hAnsi="Cordia New" w:cs="Cordia New"/>
                <w:b w:val="0"/>
                <w:bCs w:val="0"/>
                <w:sz w:val="28"/>
                <w:szCs w:val="28"/>
              </w:rPr>
              <w:t>           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A00EB5" w:rsidRPr="00A00EB5" w:rsidRDefault="00AA2144" w:rsidP="006B67E1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proofErr w:type="spellStart"/>
            <w: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Digoxin</w:t>
            </w:r>
            <w:proofErr w:type="spellEnd"/>
          </w:p>
        </w:tc>
        <w:tc>
          <w:tcPr>
            <w:tcW w:w="1984" w:type="dxa"/>
          </w:tcPr>
          <w:p w:rsidR="00A00EB5" w:rsidRPr="00A00EB5" w:rsidRDefault="00AA2144" w:rsidP="006B67E1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proofErr w:type="spellStart"/>
            <w: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Furosemide</w:t>
            </w:r>
            <w:proofErr w:type="spellEnd"/>
          </w:p>
          <w:p w:rsidR="00A00EB5" w:rsidRPr="00A00EB5" w:rsidRDefault="00A00EB5" w:rsidP="00AA2144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proofErr w:type="spellStart"/>
            <w:r w:rsidRPr="00A00EB5">
              <w:rPr>
                <w:rStyle w:val="a4"/>
                <w:rFonts w:ascii="Cordia New" w:hAnsi="Cordia New" w:cs="Cordia New"/>
                <w:b w:val="0"/>
                <w:bCs w:val="0"/>
                <w:sz w:val="28"/>
                <w:szCs w:val="28"/>
              </w:rPr>
              <w:t>S</w:t>
            </w:r>
            <w:r w:rsidR="00AA2144">
              <w:rPr>
                <w:rStyle w:val="a4"/>
                <w:rFonts w:ascii="Cordia New" w:hAnsi="Cordia New" w:cs="Cordia New"/>
                <w:b w:val="0"/>
                <w:bCs w:val="0"/>
                <w:sz w:val="28"/>
                <w:szCs w:val="28"/>
              </w:rPr>
              <w:t>pironolactone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ยาขับปัสสาวะเพิ่มการขับ </w:t>
            </w:r>
            <w:r w:rsidR="00AA2144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K,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Mg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ทางไต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ซึ่งมีผลต่อการทำงานของกล้ามเนื้อหัวใจ เพิ่มปัจจัยต่อการเกิด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 digitalis -induced arrhythmias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เฝ้าระวังภาวะ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Electrolyte imbalance     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Thioridazine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Flu</w:t>
            </w:r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oxetine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AA2144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Fluoxetine</w:t>
            </w:r>
            <w:proofErr w:type="spellEnd"/>
            <w:r w:rsidR="00AA2144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ยับยั้ง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metabolism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ของยา </w:t>
            </w:r>
            <w:proofErr w:type="spellStart"/>
            <w:r w:rsidR="00AA2144">
              <w:rPr>
                <w:rFonts w:ascii="Cordia New" w:hAnsi="Cordia New" w:cs="Cordia New"/>
                <w:sz w:val="28"/>
                <w:szCs w:val="28"/>
              </w:rPr>
              <w:t>T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hioridazine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ผลทำให้ระดับยา </w:t>
            </w:r>
            <w:proofErr w:type="spellStart"/>
            <w:r w:rsidR="00AA2144">
              <w:rPr>
                <w:rFonts w:ascii="Cordia New" w:hAnsi="Cordia New" w:cs="Cordia New"/>
                <w:sz w:val="28"/>
                <w:szCs w:val="28"/>
              </w:rPr>
              <w:t>T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hioridazine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ในเลือดเพิ่มสูงขึ้น เพิ่มความเสี่ยงต่อการเกิด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cardiac arrhythmias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รวมทั้ง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QT prolongation,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torsades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depoints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>, cardiac arrest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ห้ามใช้ร่วมกันเพราะจะทำให้เกิด </w:t>
            </w:r>
            <w:r w:rsidR="00AA2144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p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rolongation of the QT interval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และเพิ่มความเสี่ยงในการเสียช</w:t>
            </w:r>
            <w:r w:rsidR="00AA2144">
              <w:rPr>
                <w:rStyle w:val="style161"/>
                <w:rFonts w:ascii="Cordia New" w:hAnsi="Cordia New" w:cs="Cordia New" w:hint="cs"/>
                <w:color w:val="auto"/>
                <w:sz w:val="28"/>
                <w:szCs w:val="28"/>
                <w:cs/>
              </w:rPr>
              <w:t>ี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วิต จากการเกิด </w:t>
            </w:r>
            <w:proofErr w:type="spellStart"/>
            <w:r w:rsidR="00AA2144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t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orsade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de pointes type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arrhymias</w:t>
            </w:r>
            <w:proofErr w:type="spellEnd"/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A00EB5" w:rsidRPr="00A00EB5" w:rsidRDefault="00A00EB5" w:rsidP="00AA2144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proofErr w:type="spellStart"/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T</w:t>
            </w:r>
            <w:r w:rsidR="00AA2144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heophylline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AA2144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proofErr w:type="spellStart"/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N</w:t>
            </w:r>
            <w:r w:rsidR="00AA2144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orfloxacin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pStyle w:val="style16"/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การ </w:t>
            </w:r>
            <w:r w:rsidRPr="00A00EB5">
              <w:rPr>
                <w:rFonts w:ascii="Cordia New" w:hAnsi="Cordia New" w:cs="Cordia New"/>
                <w:color w:val="auto"/>
                <w:sz w:val="28"/>
                <w:szCs w:val="28"/>
              </w:rPr>
              <w:t xml:space="preserve">metabolism </w:t>
            </w:r>
            <w:r w:rsidRPr="00A00EB5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Fonts w:ascii="Cordia New" w:hAnsi="Cordia New" w:cs="Cordia New"/>
                <w:color w:val="auto"/>
                <w:sz w:val="28"/>
                <w:szCs w:val="28"/>
              </w:rPr>
              <w:t>Theophylline</w:t>
            </w:r>
            <w:proofErr w:type="spellEnd"/>
            <w:r w:rsidRPr="00A00EB5">
              <w:rPr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ในเลือดลดลง อาจเกิดพิษจากยาได้ (คลื่นไส้ อาเจียน</w:t>
            </w:r>
            <w:r w:rsidRPr="00A00EB5">
              <w:rPr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ใจสั่น ชัก</w:t>
            </w:r>
            <w:r w:rsidRPr="00A00EB5">
              <w:rPr>
                <w:rFonts w:ascii="Cordia New" w:hAnsi="Cordia New" w:cs="Cordia New"/>
                <w:color w:val="auto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ติดตามระดับ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Theophylline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อาจต้องปรับขนาดยา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Theophyllin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โดยลดขนาด </w:t>
            </w:r>
            <w:proofErr w:type="spellStart"/>
            <w:r w:rsidR="00AA2144">
              <w:rPr>
                <w:rFonts w:ascii="Cordia New" w:hAnsi="Cordia New" w:cs="Cordia New"/>
                <w:sz w:val="28"/>
                <w:szCs w:val="28"/>
              </w:rPr>
              <w:t>T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heophyllin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ลง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20-40%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A00EB5" w:rsidRPr="00A00EB5" w:rsidRDefault="00A00EB5" w:rsidP="00AA2144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proofErr w:type="spellStart"/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T</w:t>
            </w:r>
            <w:r w:rsidR="00AA2144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heophylline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AA2144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r w:rsidRPr="00A00EB5">
              <w:rPr>
                <w:rStyle w:val="a4"/>
                <w:rFonts w:ascii="Cordia New" w:hAnsi="Cordia New" w:cs="Cordia New"/>
                <w:b w:val="0"/>
                <w:bCs w:val="0"/>
                <w:sz w:val="28"/>
                <w:szCs w:val="28"/>
              </w:rPr>
              <w:t>E</w:t>
            </w:r>
            <w:r w:rsidR="00AA2144">
              <w:rPr>
                <w:rStyle w:val="a4"/>
                <w:rFonts w:ascii="Cordia New" w:hAnsi="Cordia New" w:cs="Cordia New"/>
                <w:b w:val="0"/>
                <w:bCs w:val="0"/>
                <w:sz w:val="28"/>
                <w:szCs w:val="28"/>
              </w:rPr>
              <w:t>rythromycin</w:t>
            </w:r>
          </w:p>
        </w:tc>
        <w:tc>
          <w:tcPr>
            <w:tcW w:w="4678" w:type="dxa"/>
          </w:tcPr>
          <w:p w:rsidR="00A00EB5" w:rsidRPr="00A00EB5" w:rsidRDefault="00A00EB5" w:rsidP="006B67E1">
            <w:pPr>
              <w:pStyle w:val="style16"/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การ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metabolism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Theophylline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ในเลือดลดลง ระดับ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Theophyllin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ในเลือดเพิ่มขึ้น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และการขับออกทางไตของ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lastRenderedPageBreak/>
              <w:t xml:space="preserve">Erythromycin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เพิ่มขึ้น ทำให้ระดับ ยา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  Erythromycin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ลดลง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จึงมีความเสี่ยงในการเกิดพิษจากยา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Theophyllin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และผลการรักษาของยา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Erythromycin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ลดลง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lastRenderedPageBreak/>
              <w:t xml:space="preserve">ติดตามระดับ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Theophylline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อาจต้องปรับขนาดยา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Theophyllin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และอาจต้องติดตามผลการรักษาของ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lastRenderedPageBreak/>
              <w:t xml:space="preserve">Erythromycin 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lastRenderedPageBreak/>
              <w:t>7</w:t>
            </w:r>
          </w:p>
        </w:tc>
        <w:tc>
          <w:tcPr>
            <w:tcW w:w="1951" w:type="dxa"/>
          </w:tcPr>
          <w:p w:rsidR="00A00EB5" w:rsidRPr="00A00EB5" w:rsidRDefault="00AA2144" w:rsidP="006B67E1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  <w:cs/>
              </w:rPr>
            </w:pPr>
            <w:proofErr w:type="spellStart"/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T</w:t>
            </w:r>
            <w: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heophylline</w:t>
            </w:r>
            <w:proofErr w:type="spellEnd"/>
          </w:p>
        </w:tc>
        <w:tc>
          <w:tcPr>
            <w:tcW w:w="1984" w:type="dxa"/>
          </w:tcPr>
          <w:p w:rsidR="00A00EB5" w:rsidRPr="00A00EB5" w:rsidRDefault="00AA2144" w:rsidP="00A00EB5">
            <w:pPr>
              <w:rPr>
                <w:rStyle w:val="a4"/>
                <w:rFonts w:ascii="Cordia New" w:hAnsi="Cordia New" w:cs="Cordia New"/>
                <w:b w:val="0"/>
                <w:bCs w:val="0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Rifampicin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pStyle w:val="style16"/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การ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metabolism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Theophylline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เพิ่มขึ้น ระดับ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Theophyllin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ในเลือดลดลง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ผลการรักษาลดลง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ติดตามระดับ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Theophylline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อาจต้องปรับขนาดยา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Theophyllin</w:t>
            </w:r>
            <w:proofErr w:type="spellEnd"/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A00EB5" w:rsidRPr="00A00EB5" w:rsidRDefault="00AA2144" w:rsidP="006B67E1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proofErr w:type="spellStart"/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T</w:t>
            </w:r>
            <w: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heophylline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AA2144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proofErr w:type="spellStart"/>
            <w:r w:rsidRPr="00A00EB5">
              <w:rPr>
                <w:rStyle w:val="a4"/>
                <w:rFonts w:ascii="Cordia New" w:hAnsi="Cordia New" w:cs="Cordia New"/>
                <w:b w:val="0"/>
                <w:bCs w:val="0"/>
                <w:sz w:val="28"/>
                <w:szCs w:val="28"/>
              </w:rPr>
              <w:t>P</w:t>
            </w:r>
            <w:r w:rsidR="00AA2144">
              <w:rPr>
                <w:rStyle w:val="a4"/>
                <w:rFonts w:ascii="Cordia New" w:hAnsi="Cordia New" w:cs="Cordia New"/>
                <w:b w:val="0"/>
                <w:bCs w:val="0"/>
                <w:sz w:val="28"/>
                <w:szCs w:val="28"/>
              </w:rPr>
              <w:t>ropanolol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pStyle w:val="style16"/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การใช้ร่วมกันจะเกิดการต้านฤทธิ์กันและการขับออกทางไตของ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Theophylline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ลดลงอาจเกิดพิษได้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ติดตามระดับ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Theophylline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และอาการไม่พึงประสงค์ของ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propanolol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อาจต้องปรับขนาดยา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Theophylline</w:t>
            </w:r>
            <w:proofErr w:type="spellEnd"/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A00EB5" w:rsidRPr="00A00EB5" w:rsidRDefault="00AA2144" w:rsidP="006B67E1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  <w:cs/>
              </w:rPr>
            </w:pPr>
            <w:proofErr w:type="spellStart"/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T</w:t>
            </w:r>
            <w: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heophylline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AA2144">
            <w:pPr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</w:pPr>
            <w:r w:rsidRPr="00A00EB5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P</w:t>
            </w:r>
            <w:r w:rsidR="00AA2144">
              <w:rPr>
                <w:rStyle w:val="style291"/>
                <w:rFonts w:ascii="Cordia New" w:hAnsi="Cordia New" w:cs="Cordia New"/>
                <w:color w:val="auto"/>
                <w:sz w:val="28"/>
                <w:szCs w:val="28"/>
              </w:rPr>
              <w:t>henobarbital</w:t>
            </w:r>
          </w:p>
        </w:tc>
        <w:tc>
          <w:tcPr>
            <w:tcW w:w="4678" w:type="dxa"/>
          </w:tcPr>
          <w:p w:rsidR="00A00EB5" w:rsidRPr="00A00EB5" w:rsidRDefault="00A00EB5" w:rsidP="006B67E1">
            <w:pPr>
              <w:pStyle w:val="style16"/>
              <w:rPr>
                <w:rFonts w:ascii="Cordia New" w:hAnsi="Cordia New" w:cs="Cordia New"/>
                <w:color w:val="auto"/>
                <w:sz w:val="28"/>
                <w:szCs w:val="28"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Phenobarbital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เป็น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enzyme inducer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ทำให้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metabolism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Theophylline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ในเลือดเพิ่มขึ้น ผลการรักษาของ </w:t>
            </w:r>
            <w:proofErr w:type="spellStart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>Theophylline</w:t>
            </w:r>
            <w:proofErr w:type="spellEnd"/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>ลดลง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ติดตามระดับ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Theophylline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อาจต้องปรับขนาดยา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Theophyllin</w:t>
            </w:r>
            <w:proofErr w:type="spellEnd"/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Rifampicin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Ritonavir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Rifampicin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เพิ่มการ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metabolism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Ritonavir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ผ่าน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CYP3A4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ทำให้ระดับ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Ritonavir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ในเลือดลดลง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เมื่อได้รับยาทั้งสองร่วมกัน ควรติดตามการตอบสนองของผู้ป่วยด้วยความระมัดระวัง  ถ้าเกิดอันตรกิริยาขึ้น ควรเพิ่มขนาดยา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Ritonavir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Simvastatin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Simvastatin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ยับยั้ง 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hepatic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metabolism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ทำให้ผล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anticoagulant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proofErr w:type="spellStart"/>
            <w:r w:rsidR="00AA2144"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สูงขึ้น</w:t>
            </w:r>
          </w:p>
        </w:tc>
        <w:tc>
          <w:tcPr>
            <w:tcW w:w="4820" w:type="dxa"/>
          </w:tcPr>
          <w:p w:rsidR="00A00EB5" w:rsidRPr="00A00EB5" w:rsidRDefault="00A00EB5" w:rsidP="00AA214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ควรติดตาม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="00AA2144">
              <w:rPr>
                <w:rFonts w:ascii="Cordia New" w:hAnsi="Cordia New" w:cs="Cordia New"/>
                <w:sz w:val="28"/>
                <w:szCs w:val="28"/>
              </w:rPr>
              <w:t>anticoagulant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parameters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เมื่อมีการใช้ร่วมกัน หรือเมื่อหยุดใช้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Simvastatin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12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</w:p>
        </w:tc>
        <w:tc>
          <w:tcPr>
            <w:tcW w:w="1984" w:type="dxa"/>
          </w:tcPr>
          <w:p w:rsidR="00AA2144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Norfloxacin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</w:p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Ofloxacin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AA214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เพิ่มผล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proofErr w:type="spellStart"/>
            <w:r w:rsidR="00AA2144">
              <w:rPr>
                <w:rFonts w:ascii="Cordia New" w:hAnsi="Cordia New" w:cs="Cordia New"/>
                <w:sz w:val="28"/>
                <w:szCs w:val="28"/>
              </w:rPr>
              <w:t>anticoadgulant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ของ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="00AA2144"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เกิดปฏิกิริยาระหว่างยาภายใน 2 -16  วัน ควรติดตามระดับ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</w:rPr>
              <w:t xml:space="preserve">INR </w:t>
            </w: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อย่างใกล้ชิด  ถ้าเป็นไปได้ควรเลือกใช้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non–QUINOLONE antibiotic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  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13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Trimethoprim-Sulfamethoxazole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Trimethoprim-Sulfamethoxazole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ยับยั้ง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hepatic metabolism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S-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ทำให้ผล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anticoagulant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ของ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="00AA2144"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สูงขึ้น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ติดตามผล</w:t>
            </w:r>
            <w:r w:rsidR="00AA2144">
              <w:rPr>
                <w:rFonts w:ascii="Cordia New" w:hAnsi="Cordia New" w:cs="Cordia New"/>
                <w:sz w:val="28"/>
                <w:szCs w:val="28"/>
              </w:rPr>
              <w:t xml:space="preserve"> anticoagulant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parameters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และควรปรับขนาดยา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</w:p>
        </w:tc>
        <w:tc>
          <w:tcPr>
            <w:tcW w:w="1984" w:type="dxa"/>
          </w:tcPr>
          <w:p w:rsid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Doxycycline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</w:p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Tetracycline</w:t>
            </w:r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Tetracyclines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มีผลต่อ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hemostasis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ทำให้ฤทธิ์ของ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4820" w:type="dxa"/>
          </w:tcPr>
          <w:p w:rsidR="00A00EB5" w:rsidRPr="00A00EB5" w:rsidRDefault="00A00EB5" w:rsidP="00203D9D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ติดตาม  </w:t>
            </w:r>
            <w:r w:rsidR="00203D9D">
              <w:rPr>
                <w:rFonts w:ascii="Cordia New" w:hAnsi="Cordia New" w:cs="Cordia New"/>
                <w:sz w:val="28"/>
                <w:szCs w:val="28"/>
              </w:rPr>
              <w:t xml:space="preserve"> anticoagulant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parameters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ให้ถี่ขึ้น และปรับขนาดยา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เมื่อให้ร่วมกัน  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15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Metronidazole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203D9D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Metronidazole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hepatic metabolism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S-</w:t>
            </w:r>
            <w:proofErr w:type="spellStart"/>
            <w:r w:rsidR="00203D9D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ลดลง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ผล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anticoagulant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r w:rsidR="00203D9D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="00203D9D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จึงสูงขึ้น  เสี่ยงต่อการเกิด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hemorrhage 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ติดตาม  </w:t>
            </w:r>
            <w:r w:rsidR="00203D9D">
              <w:rPr>
                <w:rFonts w:ascii="Cordia New" w:hAnsi="Cordia New" w:cs="Cordia New"/>
                <w:sz w:val="28"/>
                <w:szCs w:val="28"/>
              </w:rPr>
              <w:t xml:space="preserve"> anticoagulant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parameters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และปรับขนาดยา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เมื่อให้ร่วมกัน  </w:t>
            </w:r>
          </w:p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16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</w:p>
        </w:tc>
        <w:tc>
          <w:tcPr>
            <w:tcW w:w="1984" w:type="dxa"/>
          </w:tcPr>
          <w:p w:rsid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Ketoconazole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</w:p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Fluconazole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203D9D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Ketoconazole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และ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Fluconazole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ยับยั้งการ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metabolism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ทำให้ผล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anticoagulant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ของ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</w:t>
            </w:r>
            <w:r w:rsidR="00203D9D">
              <w:rPr>
                <w:rFonts w:ascii="Cordia New" w:hAnsi="Cordia New" w:cs="Cordia New"/>
                <w:sz w:val="28"/>
                <w:szCs w:val="28"/>
              </w:rPr>
              <w:t>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สูงขึ้น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ติดตาม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INR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ทุกๆ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2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วัน  เมื่อมีการใช้ร่วมกันหรือหยุดใช้  </w:t>
            </w:r>
          </w:p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17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Gemfibrozil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Gemfibrozil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ไปรบกวนการสร้าง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Coagulation factor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ซึ่งให้เกิดผล</w:t>
            </w:r>
            <w:r w:rsidR="00203D9D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hypoprothrombinemic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เพิ่มขึ้น  แต่ไม่ม</w:t>
            </w:r>
            <w:r w:rsidR="00203D9D">
              <w:rPr>
                <w:rFonts w:ascii="Cordia New" w:hAnsi="Cordia New" w:cs="Cordia New" w:hint="cs"/>
                <w:sz w:val="28"/>
                <w:szCs w:val="28"/>
                <w:cs/>
              </w:rPr>
              <w:t>ี</w:t>
            </w:r>
            <w:r w:rsidR="00203D9D">
              <w:rPr>
                <w:rFonts w:ascii="Cordia New" w:hAnsi="Cordia New" w:cs="Cordia New"/>
                <w:sz w:val="28"/>
                <w:szCs w:val="28"/>
                <w:cs/>
              </w:rPr>
              <w:t>ผล</w:t>
            </w:r>
            <w:r w:rsidR="00203D9D">
              <w:rPr>
                <w:rFonts w:ascii="Cordia New" w:hAnsi="Cordia New" w:cs="Cordia New" w:hint="cs"/>
                <w:sz w:val="28"/>
                <w:szCs w:val="28"/>
                <w:cs/>
              </w:rPr>
              <w:t>ต่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อระดับ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ใน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plasma </w:t>
            </w:r>
          </w:p>
        </w:tc>
        <w:tc>
          <w:tcPr>
            <w:tcW w:w="4820" w:type="dxa"/>
          </w:tcPr>
          <w:p w:rsidR="00A00EB5" w:rsidRPr="006B67E1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ถ้าการใช้ร่วมกันไม่สามารถหลีกเลี่ยงได้ ควรติดตาม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INR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ให้ถี่ขึ้นเมื่อเริ่มใช้หรือหยุดใช้  และจัดเตรียมการปรับขนาดยา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18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Erythromycin</w:t>
            </w:r>
          </w:p>
        </w:tc>
        <w:tc>
          <w:tcPr>
            <w:tcW w:w="4678" w:type="dxa"/>
          </w:tcPr>
          <w:p w:rsidR="00A00EB5" w:rsidRPr="00A00EB5" w:rsidRDefault="00A00EB5" w:rsidP="00B87040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Erythromycin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ลดการกำจัดยา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จากร่างกาย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="00B87040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ทำให้ผล 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 xml:space="preserve">anticoagulant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สูงขึ้น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ติดตาม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anticoagulant parameters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และปรับขนาดยา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เมื่อเริ่มใช้หรือหยุดใช้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Erythromycin 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19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Phenobarbital</w:t>
            </w:r>
          </w:p>
        </w:tc>
        <w:tc>
          <w:tcPr>
            <w:tcW w:w="4678" w:type="dxa"/>
          </w:tcPr>
          <w:p w:rsidR="00A00EB5" w:rsidRPr="00A00EB5" w:rsidRDefault="00A00EB5" w:rsidP="00B87040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B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arbiturates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มีผลเพิ่ม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metabolic clearance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 ผ่านการเหนี่ยวนำ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hepatic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microsomal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enzymes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ทำให้ผล 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anticoagulant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ลดลง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ควรปรับขนาดยา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และติดตาม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anticoagulant parameters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หรือเปลี่ยนใช้ </w:t>
            </w:r>
          </w:p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Benzodiazepine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แทน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20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Warfarin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Propylthiouracil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B87040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เมื่อได้รับร่วมกัน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ทำให้ผล 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 xml:space="preserve">anticoagulant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เปลี่ยนแปลง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ติดตาม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anticoagulant parameters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 และสังเกตอาการทางคลินิกระหว่างใช้ร่วมกัน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21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Efavirenz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Ergotamine</w:t>
            </w:r>
          </w:p>
        </w:tc>
        <w:tc>
          <w:tcPr>
            <w:tcW w:w="4678" w:type="dxa"/>
          </w:tcPr>
          <w:p w:rsidR="00A00EB5" w:rsidRPr="00A00EB5" w:rsidRDefault="00A00EB5" w:rsidP="00B87040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N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on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-N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ucleoside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R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everse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T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ranscriptase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="00B87040" w:rsidRPr="00A00EB5">
              <w:rPr>
                <w:rFonts w:ascii="Cordia New" w:hAnsi="Cordia New" w:cs="Cordia New"/>
                <w:sz w:val="28"/>
                <w:szCs w:val="28"/>
              </w:rPr>
              <w:t>I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nhibitors</w:t>
            </w:r>
            <w:r w:rsidR="00B87040"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(NNRT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Is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)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รบกวน 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hepatic metabolism (CYP3A4)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 ของ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E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rgot derivatives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ทำให้เสี่ยงต่อการเกิดพิษของ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ergot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lastRenderedPageBreak/>
              <w:t xml:space="preserve">สูงขึ้น เช่น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 xml:space="preserve">peripheral vasospasm,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ischemia of the extremities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Style w:val="style161"/>
                <w:rFonts w:ascii="Cordia New" w:hAnsi="Cordia New" w:cs="Cordia New"/>
                <w:color w:val="auto"/>
                <w:sz w:val="28"/>
                <w:szCs w:val="28"/>
                <w:cs/>
              </w:rPr>
              <w:lastRenderedPageBreak/>
              <w:t>ไม่ควรให้ร่วมกัน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Erythromycin</w:t>
            </w:r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Fluoxetine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Erythromycin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ยับยั้งการ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metabolism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Fluoxetine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ทำให้เกิด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Serotonin syndrome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ซึ่งมีอาการดังนี้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irritability, increased muscle tone, shivering,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myoclonus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และ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altered consciousness</w:t>
            </w:r>
          </w:p>
        </w:tc>
        <w:tc>
          <w:tcPr>
            <w:tcW w:w="482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"/>
              <w:gridCol w:w="4550"/>
            </w:tblGrid>
            <w:tr w:rsidR="00A00EB5" w:rsidRPr="00A00EB5" w:rsidTr="006B67E1">
              <w:trPr>
                <w:tblCellSpacing w:w="0" w:type="dxa"/>
              </w:trPr>
              <w:tc>
                <w:tcPr>
                  <w:tcW w:w="47" w:type="dxa"/>
                  <w:hideMark/>
                </w:tcPr>
                <w:p w:rsidR="00A00EB5" w:rsidRPr="00A00EB5" w:rsidRDefault="00A00EB5" w:rsidP="006B67E1">
                  <w:pPr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</w:pPr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27" w:type="dxa"/>
                  <w:hideMark/>
                </w:tcPr>
                <w:p w:rsidR="00A00EB5" w:rsidRPr="00A00EB5" w:rsidRDefault="00A00EB5" w:rsidP="006B67E1">
                  <w:pPr>
                    <w:rPr>
                      <w:rFonts w:ascii="Cordia New" w:eastAsia="Times New Roman" w:hAnsi="Cordia New" w:cs="Cordia New"/>
                      <w:sz w:val="28"/>
                      <w:szCs w:val="28"/>
                      <w:cs/>
                    </w:rPr>
                  </w:pPr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  <w:cs/>
                    </w:rPr>
                    <w:t xml:space="preserve">ถ้าให้ร่วมกัน ควรปรับขนาดยา </w:t>
                  </w:r>
                  <w:proofErr w:type="spellStart"/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  <w:t>Fluoxetine</w:t>
                  </w:r>
                  <w:proofErr w:type="spellEnd"/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  <w:t xml:space="preserve"> </w:t>
                  </w:r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  <w:cs/>
                    </w:rPr>
                    <w:t>เมื่อเริ่มใช้หรือหยุดใช้</w:t>
                  </w:r>
                </w:p>
                <w:p w:rsidR="00A00EB5" w:rsidRPr="00A00EB5" w:rsidRDefault="00A00EB5" w:rsidP="006B67E1">
                  <w:pPr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</w:pPr>
                </w:p>
              </w:tc>
            </w:tr>
          </w:tbl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23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Erythromycin</w:t>
            </w:r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Simvastatin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Erythromycin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ยับยั้งการ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Inhibition of metabolism (CYP3A4)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Simvastatin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ทำให้เกิด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Severe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myopathy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,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rhabdomyolysis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82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"/>
              <w:gridCol w:w="4550"/>
            </w:tblGrid>
            <w:tr w:rsidR="00A00EB5" w:rsidRPr="00A00EB5" w:rsidTr="006B67E1">
              <w:trPr>
                <w:tblCellSpacing w:w="0" w:type="dxa"/>
              </w:trPr>
              <w:tc>
                <w:tcPr>
                  <w:tcW w:w="47" w:type="dxa"/>
                  <w:hideMark/>
                </w:tcPr>
                <w:p w:rsidR="00A00EB5" w:rsidRPr="00A00EB5" w:rsidRDefault="00A00EB5" w:rsidP="006B67E1">
                  <w:pPr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</w:pPr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27" w:type="dxa"/>
                  <w:hideMark/>
                </w:tcPr>
                <w:p w:rsidR="00A00EB5" w:rsidRPr="00A00EB5" w:rsidRDefault="00A00EB5" w:rsidP="006B67E1">
                  <w:pPr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</w:pPr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  <w:cs/>
                    </w:rPr>
                    <w:t>ถ้าเป็นไปได้ควรเลือกใช้</w:t>
                  </w:r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  <w:t>Fluvastatin</w:t>
                  </w:r>
                  <w:proofErr w:type="spellEnd"/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  <w:t xml:space="preserve"> </w:t>
                  </w:r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  <w:cs/>
                    </w:rPr>
                    <w:t xml:space="preserve">และ </w:t>
                  </w:r>
                  <w:proofErr w:type="spellStart"/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  <w:t>Pravastatin</w:t>
                  </w:r>
                  <w:proofErr w:type="spellEnd"/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  <w:t xml:space="preserve"> </w:t>
                  </w:r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  <w:cs/>
                    </w:rPr>
                    <w:t xml:space="preserve">แทน เนื่องจากไม่ได้เกิด </w:t>
                  </w:r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  <w:t xml:space="preserve">metabolized </w:t>
                  </w:r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  <w:cs/>
                    </w:rPr>
                    <w:t xml:space="preserve">ผ่าน </w:t>
                  </w:r>
                  <w:r w:rsidRPr="00A00EB5">
                    <w:rPr>
                      <w:rFonts w:ascii="Cordia New" w:eastAsia="Times New Roman" w:hAnsi="Cordia New" w:cs="Cordia New"/>
                      <w:sz w:val="28"/>
                      <w:szCs w:val="28"/>
                    </w:rPr>
                    <w:t xml:space="preserve"> CYP3A4 </w:t>
                  </w:r>
                </w:p>
              </w:tc>
            </w:tr>
          </w:tbl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24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Erythromycin</w:t>
            </w:r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Digoxin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Macrolide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antibiotic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ยับยั้งการขับออกผ่าน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renal tubular P-glycoprotein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Digoxin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ทำให้ระดับ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Digoxin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ในเลือดสูงขึ้น จนเกิดพิษได้  โดยอันตรกิริยาที่เกิดขึ้นมีผลคงอยู่นานหลายสัปดาห์เมื่อใช้ร่วมกัน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ติดตามระดับยา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Digoxin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และอาการของการเกิดพิษ</w:t>
            </w:r>
          </w:p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Erythromycin</w:t>
            </w:r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Carbamazepine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Erythromycin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ยับยั้ง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hepatic metabolism (CYP3A4)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ของ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="00B87040">
              <w:rPr>
                <w:rFonts w:ascii="Cordia New" w:hAnsi="Cordia New" w:cs="Cordia New"/>
                <w:sz w:val="28"/>
                <w:szCs w:val="28"/>
              </w:rPr>
              <w:t>Carbamazepine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มีผลลดการขับออกของ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Carbamazepine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ทำให้เกิดพิษได้</w:t>
            </w:r>
          </w:p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หลีกเลี่ยงการใช้ร่วมกัน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ถ้าจำเป็นต้องใช้ร่วมกันควรติดตามระดับ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Carbamazepine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 และสังเกตอาการทางคลินิกของผู้ป่วยอย่างใกล้ชิด หรือหยุดยาทั้งสอง หรือลดขนาดยา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Carbamazepine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หรือเลือกใช้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Macrolide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antibiotic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ตัวอื่น เช่น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="00B87040">
              <w:rPr>
                <w:rFonts w:ascii="Cordia New" w:hAnsi="Cordia New" w:cs="Cordia New"/>
                <w:sz w:val="28"/>
                <w:szCs w:val="28"/>
              </w:rPr>
              <w:t>A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zithromycin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หรือ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antibiotic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กลุ่มอื่นที่ไม่เกิดอันตรกิริยา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26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Erythromycin</w:t>
            </w:r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Colchicine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B87040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Erythromycin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ยับยั้งการ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metabolism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Colchicine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="00B87040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มีผลเพิ่มระดับ</w:t>
            </w:r>
            <w:r w:rsidR="00B87040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proofErr w:type="spellStart"/>
            <w:r w:rsidR="00B87040">
              <w:rPr>
                <w:rFonts w:ascii="Cordia New" w:hAnsi="Cordia New" w:cs="Cordia New"/>
                <w:sz w:val="28"/>
                <w:szCs w:val="28"/>
              </w:rPr>
              <w:t>Colchicine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ในเลือด จนเกิดพิษได้ 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หลีกเลี่ยงการใช้ร่วมกัน  หรือใช้การรักษาทางเลือกอื่นแทน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Erythromycin</w:t>
            </w:r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Ergotamine</w:t>
            </w:r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Macrolide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antibiotic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 รบกวน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hepatic metabolism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Ergotamine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  ทำให้เกิด 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Acute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ergotism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ที่มีอาการ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peripheral ischemia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ได้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ติดตามและให้คำแนะนำอาการ 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ergotism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 แก่ผู้ป่วย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และเตรียมการลดขนาด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Ergot  </w:t>
            </w:r>
          </w:p>
          <w:p w:rsidR="00A00EB5" w:rsidRPr="00A00EB5" w:rsidRDefault="00A00EB5" w:rsidP="00B87040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Sodium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nitroprusside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มีประโยชน์ในการลด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M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acrolide</w:t>
            </w:r>
            <w:proofErr w:type="spellEnd"/>
            <w:r w:rsidR="00B87040">
              <w:rPr>
                <w:rFonts w:ascii="Cordia New" w:hAnsi="Cordia New" w:cs="Cordia New"/>
                <w:sz w:val="28"/>
                <w:szCs w:val="28"/>
              </w:rPr>
              <w:t>-Ergot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-induced vasospasm 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28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Ketoconazole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Ranitidine</w:t>
            </w:r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Ranitidine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มีผลลด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A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zole</w:t>
            </w:r>
            <w:proofErr w:type="spellEnd"/>
            <w:r w:rsidR="00B87040">
              <w:rPr>
                <w:rFonts w:ascii="Cordia New" w:hAnsi="Cordia New" w:cs="Cordia New"/>
                <w:sz w:val="28"/>
                <w:szCs w:val="28"/>
              </w:rPr>
              <w:t xml:space="preserve"> Antifungal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agent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bioavailability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โดยลดการแตกตัวของเม็ดยาในสภาวะที่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gastric pH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สูงขึ้น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="00B87040">
              <w:rPr>
                <w:rFonts w:ascii="Cordia New" w:hAnsi="Cordia New" w:cs="Cordia New"/>
                <w:sz w:val="28"/>
                <w:szCs w:val="28"/>
                <w:cs/>
              </w:rPr>
              <w:t>ทำให้ฤทธิ์</w:t>
            </w:r>
            <w:r w:rsidR="00B87040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ของ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Ketoconazole</w:t>
            </w:r>
            <w:proofErr w:type="spellEnd"/>
            <w:r w:rsidR="00B87040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อ่อนลง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พิจารณาหยุดยาตัวใดตัวหนึ่ง ถ้า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Ketoconazole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จำเป็นต้องใช้ ควรให้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glutamic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acid hydrochloride 680 mg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ก่อนให้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Ketoconazole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15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นาที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29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Simvastatin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Phenytoin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B87040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Phenytoin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เพิ่มการ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metabolism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>HMG-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CoA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R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eductase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I</w:t>
            </w:r>
            <w:r w:rsidR="00B87040">
              <w:rPr>
                <w:rFonts w:ascii="Cordia New" w:hAnsi="Cordia New" w:cs="Cordia New"/>
                <w:sz w:val="28"/>
                <w:szCs w:val="28"/>
              </w:rPr>
              <w:t>nhibitors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มีผลให้ระดับ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Simvastatin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ใน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Plasma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ลดลง ทำให้ผลการรักษาลดลง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 (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eg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>, hypercholesterolemia)</w:t>
            </w:r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ติดตามการตอบสนองทาง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คลีนิก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ของผู้ป่วย  ถ้าเกิดอันตรกิริยา อาจต้องเปลี่ยนการรักษาอื่น  หรือเลือกใช้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Pravastatin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ที่เกิดอันตรกิริยาน้อยกว่า</w:t>
            </w:r>
          </w:p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00EB5" w:rsidRPr="00A00EB5" w:rsidTr="00FE637C">
        <w:tc>
          <w:tcPr>
            <w:tcW w:w="709" w:type="dxa"/>
          </w:tcPr>
          <w:p w:rsidR="00A00EB5" w:rsidRPr="00A00EB5" w:rsidRDefault="00A00EB5" w:rsidP="00A00EB5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</w:rPr>
              <w:t>30</w:t>
            </w:r>
          </w:p>
        </w:tc>
        <w:tc>
          <w:tcPr>
            <w:tcW w:w="1951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Simvastatin</w:t>
            </w:r>
            <w:proofErr w:type="spellEnd"/>
          </w:p>
        </w:tc>
        <w:tc>
          <w:tcPr>
            <w:tcW w:w="1984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Gemfibrozil</w:t>
            </w:r>
            <w:proofErr w:type="spellEnd"/>
          </w:p>
        </w:tc>
        <w:tc>
          <w:tcPr>
            <w:tcW w:w="4678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เมื่อได้ร่วมกันทำให้เกิด 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Severe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myopathy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 xml:space="preserve">หรือ 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rhabdomyolysis</w:t>
            </w:r>
            <w:proofErr w:type="spellEnd"/>
          </w:p>
        </w:tc>
        <w:tc>
          <w:tcPr>
            <w:tcW w:w="4820" w:type="dxa"/>
          </w:tcPr>
          <w:p w:rsidR="00A00EB5" w:rsidRPr="00A00EB5" w:rsidRDefault="00A00EB5" w:rsidP="006B67E1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ถ้าไม่สามารถหลีกเลี่ยงการใช้ร่วมกันได้ ควรใช้ด้วยความระมัดระวัง และติดตาม</w:t>
            </w:r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creatine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proofErr w:type="spellStart"/>
            <w:r w:rsidRPr="00A00EB5">
              <w:rPr>
                <w:rFonts w:ascii="Cordia New" w:hAnsi="Cordia New" w:cs="Cordia New"/>
                <w:sz w:val="28"/>
                <w:szCs w:val="28"/>
              </w:rPr>
              <w:t>kinase</w:t>
            </w:r>
            <w:proofErr w:type="spellEnd"/>
            <w:r w:rsidRPr="00A00EB5">
              <w:rPr>
                <w:rFonts w:ascii="Cordia New" w:hAnsi="Cordia New" w:cs="Cordia New"/>
                <w:sz w:val="28"/>
                <w:szCs w:val="28"/>
              </w:rPr>
              <w:t xml:space="preserve"> (CK)  </w:t>
            </w:r>
            <w:r w:rsidRPr="00A00EB5">
              <w:rPr>
                <w:rFonts w:ascii="Cordia New" w:hAnsi="Cordia New" w:cs="Cordia New"/>
                <w:sz w:val="28"/>
                <w:szCs w:val="28"/>
                <w:cs/>
              </w:rPr>
              <w:t>อย่างใกล้ชิด</w:t>
            </w:r>
          </w:p>
        </w:tc>
      </w:tr>
    </w:tbl>
    <w:p w:rsidR="00204AE7" w:rsidRPr="00204AE7" w:rsidRDefault="00204AE7" w:rsidP="00B87040">
      <w:pPr>
        <w:rPr>
          <w:rFonts w:ascii="Angsana New" w:hAnsi="Angsana New"/>
          <w:b/>
          <w:bCs/>
          <w:sz w:val="32"/>
          <w:szCs w:val="32"/>
        </w:rPr>
      </w:pPr>
    </w:p>
    <w:sectPr w:rsidR="00204AE7" w:rsidRPr="00204AE7" w:rsidSect="00A00EB5">
      <w:pgSz w:w="16838" w:h="11906" w:orient="landscape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JS Mach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3C6"/>
    <w:multiLevelType w:val="hybridMultilevel"/>
    <w:tmpl w:val="F75C1AC6"/>
    <w:lvl w:ilvl="0" w:tplc="5810EA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82E4A"/>
    <w:multiLevelType w:val="hybridMultilevel"/>
    <w:tmpl w:val="C36217E4"/>
    <w:lvl w:ilvl="0" w:tplc="5810EA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E7311"/>
    <w:multiLevelType w:val="singleLevel"/>
    <w:tmpl w:val="60E23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5E729C"/>
    <w:multiLevelType w:val="singleLevel"/>
    <w:tmpl w:val="16309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560680"/>
    <w:multiLevelType w:val="hybridMultilevel"/>
    <w:tmpl w:val="C36EE2BA"/>
    <w:lvl w:ilvl="0" w:tplc="B7BE7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66D46"/>
    <w:multiLevelType w:val="hybridMultilevel"/>
    <w:tmpl w:val="73F29654"/>
    <w:lvl w:ilvl="0" w:tplc="5810EA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31AC1"/>
    <w:multiLevelType w:val="hybridMultilevel"/>
    <w:tmpl w:val="2E2E074A"/>
    <w:lvl w:ilvl="0" w:tplc="4FEC75F2">
      <w:start w:val="1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1632A0B"/>
    <w:multiLevelType w:val="hybridMultilevel"/>
    <w:tmpl w:val="D654D7A0"/>
    <w:lvl w:ilvl="0" w:tplc="5810EA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D541A"/>
    <w:multiLevelType w:val="hybridMultilevel"/>
    <w:tmpl w:val="DD2C908A"/>
    <w:lvl w:ilvl="0" w:tplc="5810EA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911EA"/>
    <w:multiLevelType w:val="hybridMultilevel"/>
    <w:tmpl w:val="DB6E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42FF1"/>
    <w:multiLevelType w:val="hybridMultilevel"/>
    <w:tmpl w:val="2F52DF82"/>
    <w:lvl w:ilvl="0" w:tplc="5810EA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96435"/>
    <w:multiLevelType w:val="hybridMultilevel"/>
    <w:tmpl w:val="24CA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E2247"/>
    <w:multiLevelType w:val="hybridMultilevel"/>
    <w:tmpl w:val="4D284F90"/>
    <w:lvl w:ilvl="0" w:tplc="5810EA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A6263"/>
    <w:rsid w:val="00003ECC"/>
    <w:rsid w:val="00051584"/>
    <w:rsid w:val="000B67F3"/>
    <w:rsid w:val="000D7CCD"/>
    <w:rsid w:val="000F46B8"/>
    <w:rsid w:val="00154DC8"/>
    <w:rsid w:val="00171EF8"/>
    <w:rsid w:val="00203D9D"/>
    <w:rsid w:val="002047EA"/>
    <w:rsid w:val="00204AE7"/>
    <w:rsid w:val="00221B49"/>
    <w:rsid w:val="002557AF"/>
    <w:rsid w:val="002604A2"/>
    <w:rsid w:val="00262EF4"/>
    <w:rsid w:val="002A48B6"/>
    <w:rsid w:val="00300009"/>
    <w:rsid w:val="00323963"/>
    <w:rsid w:val="00351AA2"/>
    <w:rsid w:val="003A0C01"/>
    <w:rsid w:val="003A7C8B"/>
    <w:rsid w:val="003E60C4"/>
    <w:rsid w:val="00401C35"/>
    <w:rsid w:val="00444B7C"/>
    <w:rsid w:val="00473074"/>
    <w:rsid w:val="004820B9"/>
    <w:rsid w:val="004F15AD"/>
    <w:rsid w:val="005364AC"/>
    <w:rsid w:val="005475B9"/>
    <w:rsid w:val="005A5F49"/>
    <w:rsid w:val="005F190A"/>
    <w:rsid w:val="00663FBD"/>
    <w:rsid w:val="006754D7"/>
    <w:rsid w:val="006B67E1"/>
    <w:rsid w:val="006E4720"/>
    <w:rsid w:val="00774EED"/>
    <w:rsid w:val="0079221D"/>
    <w:rsid w:val="007A6263"/>
    <w:rsid w:val="007B3666"/>
    <w:rsid w:val="007F3ABC"/>
    <w:rsid w:val="007F7E04"/>
    <w:rsid w:val="00875517"/>
    <w:rsid w:val="008F0124"/>
    <w:rsid w:val="00922596"/>
    <w:rsid w:val="0093557D"/>
    <w:rsid w:val="00942690"/>
    <w:rsid w:val="009618EF"/>
    <w:rsid w:val="00992656"/>
    <w:rsid w:val="00A00EB5"/>
    <w:rsid w:val="00A35CF9"/>
    <w:rsid w:val="00A455AC"/>
    <w:rsid w:val="00A51685"/>
    <w:rsid w:val="00A727DD"/>
    <w:rsid w:val="00AA2144"/>
    <w:rsid w:val="00AE1453"/>
    <w:rsid w:val="00B116A5"/>
    <w:rsid w:val="00B87040"/>
    <w:rsid w:val="00C14414"/>
    <w:rsid w:val="00C625A6"/>
    <w:rsid w:val="00D140DC"/>
    <w:rsid w:val="00D24D79"/>
    <w:rsid w:val="00D4620B"/>
    <w:rsid w:val="00D523B3"/>
    <w:rsid w:val="00DB356A"/>
    <w:rsid w:val="00DC2514"/>
    <w:rsid w:val="00DE4C10"/>
    <w:rsid w:val="00E14465"/>
    <w:rsid w:val="00E15C68"/>
    <w:rsid w:val="00E50614"/>
    <w:rsid w:val="00E645C9"/>
    <w:rsid w:val="00EC600E"/>
    <w:rsid w:val="00F072CF"/>
    <w:rsid w:val="00F34890"/>
    <w:rsid w:val="00F35D3B"/>
    <w:rsid w:val="00F7199D"/>
    <w:rsid w:val="00FB728F"/>
    <w:rsid w:val="00FE31BB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263"/>
    <w:rPr>
      <w:rFonts w:ascii="-JS Macha" w:eastAsia="Cordia New" w:hAnsi="-JS Macha"/>
      <w:sz w:val="56"/>
      <w:szCs w:val="56"/>
    </w:rPr>
  </w:style>
  <w:style w:type="paragraph" w:styleId="1">
    <w:name w:val="heading 1"/>
    <w:basedOn w:val="a"/>
    <w:next w:val="a"/>
    <w:qFormat/>
    <w:rsid w:val="003A0C01"/>
    <w:pPr>
      <w:keepNext/>
      <w:ind w:left="720"/>
      <w:outlineLvl w:val="0"/>
    </w:pPr>
    <w:rPr>
      <w:rFonts w:ascii="Angsana New" w:hAnsi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62EF4"/>
    <w:rPr>
      <w:b/>
      <w:bCs/>
    </w:rPr>
  </w:style>
  <w:style w:type="character" w:customStyle="1" w:styleId="style291">
    <w:name w:val="style291"/>
    <w:basedOn w:val="a0"/>
    <w:rsid w:val="00262EF4"/>
    <w:rPr>
      <w:color w:val="FF0000"/>
    </w:rPr>
  </w:style>
  <w:style w:type="paragraph" w:customStyle="1" w:styleId="style24">
    <w:name w:val="style24"/>
    <w:basedOn w:val="a"/>
    <w:rsid w:val="00262EF4"/>
    <w:pPr>
      <w:spacing w:before="100" w:beforeAutospacing="1" w:after="100" w:afterAutospacing="1"/>
    </w:pPr>
    <w:rPr>
      <w:rFonts w:ascii="Tahoma" w:eastAsia="Times New Roman" w:hAnsi="Tahoma" w:cs="Tahoma"/>
      <w:color w:val="9900CC"/>
      <w:sz w:val="24"/>
      <w:szCs w:val="24"/>
    </w:rPr>
  </w:style>
  <w:style w:type="paragraph" w:styleId="a5">
    <w:name w:val="Normal (Web)"/>
    <w:basedOn w:val="a"/>
    <w:rsid w:val="00262EF4"/>
    <w:pPr>
      <w:spacing w:before="100" w:beforeAutospacing="1" w:after="100" w:afterAutospacing="1"/>
    </w:pPr>
    <w:rPr>
      <w:rFonts w:ascii="Tahoma" w:eastAsia="Times New Roman" w:hAnsi="Tahoma" w:cs="Tahoma"/>
      <w:color w:val="9900FF"/>
      <w:sz w:val="24"/>
      <w:szCs w:val="24"/>
    </w:rPr>
  </w:style>
  <w:style w:type="character" w:customStyle="1" w:styleId="style161">
    <w:name w:val="style161"/>
    <w:basedOn w:val="a0"/>
    <w:rsid w:val="00262EF4"/>
    <w:rPr>
      <w:color w:val="009900"/>
    </w:rPr>
  </w:style>
  <w:style w:type="character" w:customStyle="1" w:styleId="style221">
    <w:name w:val="style221"/>
    <w:basedOn w:val="a0"/>
    <w:rsid w:val="00262EF4"/>
    <w:rPr>
      <w:color w:val="00FF00"/>
    </w:rPr>
  </w:style>
  <w:style w:type="character" w:customStyle="1" w:styleId="style231">
    <w:name w:val="style231"/>
    <w:basedOn w:val="a0"/>
    <w:rsid w:val="00262EF4"/>
    <w:rPr>
      <w:color w:val="006600"/>
    </w:rPr>
  </w:style>
  <w:style w:type="character" w:customStyle="1" w:styleId="style241">
    <w:name w:val="style241"/>
    <w:basedOn w:val="a0"/>
    <w:rsid w:val="00262EF4"/>
    <w:rPr>
      <w:color w:val="9900CC"/>
    </w:rPr>
  </w:style>
  <w:style w:type="paragraph" w:customStyle="1" w:styleId="style16">
    <w:name w:val="style16"/>
    <w:basedOn w:val="a"/>
    <w:rsid w:val="00262EF4"/>
    <w:pPr>
      <w:spacing w:before="100" w:beforeAutospacing="1" w:after="100" w:afterAutospacing="1"/>
    </w:pPr>
    <w:rPr>
      <w:rFonts w:ascii="Tahoma" w:eastAsia="Times New Roman" w:hAnsi="Tahoma" w:cs="Tahoma"/>
      <w:color w:val="009900"/>
      <w:sz w:val="24"/>
      <w:szCs w:val="24"/>
    </w:rPr>
  </w:style>
  <w:style w:type="character" w:customStyle="1" w:styleId="style251">
    <w:name w:val="style251"/>
    <w:basedOn w:val="a0"/>
    <w:rsid w:val="00875517"/>
    <w:rPr>
      <w:b/>
      <w:bCs/>
      <w:color w:val="0099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4106">
      <w:bodyDiv w:val="1"/>
      <w:marLeft w:val="1800"/>
      <w:marRight w:val="225"/>
      <w:marTop w:val="75"/>
      <w:marBottom w:val="83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630">
      <w:bodyDiv w:val="1"/>
      <w:marLeft w:val="1800"/>
      <w:marRight w:val="225"/>
      <w:marTop w:val="75"/>
      <w:marBottom w:val="83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ชื่อผลงาน  :  พัฒนาระบบบริหารยาผู้ป่วยนอก</vt:lpstr>
      <vt:lpstr>ชื่อผลงาน  :  พัฒนาระบบบริหารยาผู้ป่วยนอก</vt:lpstr>
    </vt:vector>
  </TitlesOfParts>
  <Company>Saimoon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ชื่อผลงาน  :  พัฒนาระบบบริหารยาผู้ป่วยนอก</dc:title>
  <dc:subject/>
  <dc:creator>RAT</dc:creator>
  <cp:keywords/>
  <cp:lastModifiedBy>FasterUser</cp:lastModifiedBy>
  <cp:revision>2</cp:revision>
  <dcterms:created xsi:type="dcterms:W3CDTF">2015-04-08T04:43:00Z</dcterms:created>
  <dcterms:modified xsi:type="dcterms:W3CDTF">2015-04-08T04:43:00Z</dcterms:modified>
</cp:coreProperties>
</file>